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6AC" w:rsidRDefault="007516AC" w:rsidP="007516AC">
      <w:pPr>
        <w:shd w:val="clear" w:color="auto" w:fill="FFFFFF"/>
        <w:spacing w:after="150"/>
        <w:jc w:val="center"/>
        <w:outlineLvl w:val="2"/>
        <w:rPr>
          <w:rFonts w:ascii="Open Sans" w:hAnsi="Open Sans" w:cs="Open Sans"/>
          <w:b/>
          <w:color w:val="1B5292"/>
          <w:sz w:val="24"/>
        </w:rPr>
      </w:pPr>
      <w:r w:rsidRPr="007516AC">
        <w:rPr>
          <w:rFonts w:ascii="Open Sans" w:hAnsi="Open Sans" w:cs="Open Sans"/>
          <w:b/>
          <w:color w:val="1B5292"/>
          <w:sz w:val="24"/>
        </w:rPr>
        <w:t>Apple e Samsung sanzionati, aggiornamenti software hanno procurato gravi inconvenienti e/o ridotto le funzionalità di alcuni cellulari</w:t>
      </w:r>
    </w:p>
    <w:p w:rsidR="007516AC" w:rsidRDefault="007516AC" w:rsidP="007516AC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Open Sans" w:hAnsi="Open Sans" w:cs="Open Sans"/>
          <w:color w:val="333333"/>
          <w:sz w:val="21"/>
          <w:szCs w:val="21"/>
        </w:rPr>
      </w:pPr>
      <w:bookmarkStart w:id="0" w:name="_GoBack"/>
      <w:bookmarkEnd w:id="0"/>
      <w:r>
        <w:rPr>
          <w:rFonts w:ascii="Open Sans" w:hAnsi="Open Sans" w:cs="Open Sans"/>
          <w:color w:val="333333"/>
          <w:sz w:val="21"/>
          <w:szCs w:val="21"/>
        </w:rPr>
        <w:t>Ad esito di due complesse istruttorie, l’AGCM ha accertato che le società del gruppo Apple e del gruppo Samsung hanno realizzato pratiche commerciali scorrette in violazione degli artt. 20, 21, 22 e 24 del Codice del Consumo in relazione al rilascio di alcuni aggiornamenti del </w:t>
      </w:r>
      <w:r>
        <w:rPr>
          <w:rStyle w:val="Enfasicorsivo"/>
          <w:rFonts w:ascii="Open Sans" w:hAnsi="Open Sans" w:cs="Open Sans"/>
          <w:color w:val="333333"/>
          <w:sz w:val="21"/>
          <w:szCs w:val="21"/>
        </w:rPr>
        <w:t>firmware</w:t>
      </w:r>
      <w:r>
        <w:rPr>
          <w:rFonts w:ascii="Open Sans" w:hAnsi="Open Sans" w:cs="Open Sans"/>
          <w:color w:val="333333"/>
          <w:sz w:val="21"/>
          <w:szCs w:val="21"/>
        </w:rPr>
        <w:t> dei cellulari che hanno provocato gravi disfunzioni e ridotto in modo significativo le prestazioni, in tal modo accelerando il processo di sostituzione degli stessi.</w:t>
      </w:r>
    </w:p>
    <w:p w:rsidR="007516AC" w:rsidRDefault="007516AC" w:rsidP="007516AC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>Tali società hanno, infatti, indotto i consumatori - mediante l’insistente richiesta di effettuare il </w:t>
      </w:r>
      <w:r>
        <w:rPr>
          <w:rStyle w:val="Enfasicorsivo"/>
          <w:rFonts w:ascii="Open Sans" w:hAnsi="Open Sans" w:cs="Open Sans"/>
          <w:color w:val="333333"/>
          <w:sz w:val="21"/>
          <w:szCs w:val="21"/>
        </w:rPr>
        <w:t>download</w:t>
      </w:r>
      <w:r>
        <w:rPr>
          <w:rFonts w:ascii="Open Sans" w:hAnsi="Open Sans" w:cs="Open Sans"/>
          <w:color w:val="333333"/>
          <w:sz w:val="21"/>
          <w:szCs w:val="21"/>
        </w:rPr>
        <w:t> e anche in ragione dell’asimmetria informativa esistente rispetto ai produttori - ad installare aggiornamenti su dispositivi non in grado di supportarli adeguatamente, senza fornire adeguate informazioni, né alcun mezzo di ripristino delle originarie funzionalità dei prodotti.</w:t>
      </w:r>
    </w:p>
    <w:p w:rsidR="007516AC" w:rsidRDefault="007516AC" w:rsidP="007516AC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>In particolare, Samsung ha insistentemente proposto, dal maggio 2016, ai consumatori che avevano acquistato un Note 4 (immesso sul mercato nel settembre 2014) di procedere ad installare il nuovo </w:t>
      </w:r>
      <w:r>
        <w:rPr>
          <w:rStyle w:val="Enfasicorsivo"/>
          <w:rFonts w:ascii="Open Sans" w:hAnsi="Open Sans" w:cs="Open Sans"/>
          <w:color w:val="333333"/>
          <w:sz w:val="21"/>
          <w:szCs w:val="21"/>
        </w:rPr>
        <w:t>firmware </w:t>
      </w:r>
      <w:r>
        <w:rPr>
          <w:rFonts w:ascii="Open Sans" w:hAnsi="Open Sans" w:cs="Open Sans"/>
          <w:color w:val="333333"/>
          <w:sz w:val="21"/>
          <w:szCs w:val="21"/>
        </w:rPr>
        <w:t xml:space="preserve">di </w:t>
      </w:r>
      <w:proofErr w:type="spellStart"/>
      <w:r>
        <w:rPr>
          <w:rFonts w:ascii="Open Sans" w:hAnsi="Open Sans" w:cs="Open Sans"/>
          <w:color w:val="333333"/>
          <w:sz w:val="21"/>
          <w:szCs w:val="21"/>
        </w:rPr>
        <w:t>Android</w:t>
      </w:r>
      <w:proofErr w:type="spellEnd"/>
      <w:r>
        <w:rPr>
          <w:rFonts w:ascii="Open Sans" w:hAnsi="Open Sans" w:cs="Open Sans"/>
          <w:color w:val="333333"/>
          <w:sz w:val="21"/>
          <w:szCs w:val="21"/>
        </w:rPr>
        <w:t xml:space="preserve"> denominato </w:t>
      </w:r>
      <w:proofErr w:type="spellStart"/>
      <w:r>
        <w:rPr>
          <w:rFonts w:ascii="Open Sans" w:hAnsi="Open Sans" w:cs="Open Sans"/>
          <w:color w:val="333333"/>
          <w:sz w:val="21"/>
          <w:szCs w:val="21"/>
        </w:rPr>
        <w:t>Marshmallow</w:t>
      </w:r>
      <w:proofErr w:type="spellEnd"/>
      <w:r>
        <w:rPr>
          <w:rFonts w:ascii="Open Sans" w:hAnsi="Open Sans" w:cs="Open Sans"/>
          <w:color w:val="333333"/>
          <w:sz w:val="21"/>
          <w:szCs w:val="21"/>
        </w:rPr>
        <w:t xml:space="preserve"> predisposto per il nuovo modello di telefono Note 7, senza informare dei gravi malfunzionamenti dovuti alle maggiori sollecitazioni dell’</w:t>
      </w:r>
      <w:r>
        <w:rPr>
          <w:rStyle w:val="Enfasicorsivo"/>
          <w:rFonts w:ascii="Open Sans" w:hAnsi="Open Sans" w:cs="Open Sans"/>
          <w:color w:val="333333"/>
          <w:sz w:val="21"/>
          <w:szCs w:val="21"/>
        </w:rPr>
        <w:t>hardware</w:t>
      </w:r>
      <w:r>
        <w:rPr>
          <w:rFonts w:ascii="Open Sans" w:hAnsi="Open Sans" w:cs="Open Sans"/>
          <w:color w:val="333333"/>
          <w:sz w:val="21"/>
          <w:szCs w:val="21"/>
        </w:rPr>
        <w:t> e richiedendo, per le riparazioni fuori garanzia connesse a tali malfunzionamenti, un elevato costo di riparazione.</w:t>
      </w:r>
    </w:p>
    <w:p w:rsidR="007516AC" w:rsidRDefault="007516AC" w:rsidP="007516AC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 xml:space="preserve">Quanto a Apple, essa ha insistentemente proposto, dal settembre 2016, ai possessori di vari modelli di </w:t>
      </w:r>
      <w:proofErr w:type="spellStart"/>
      <w:r>
        <w:rPr>
          <w:rFonts w:ascii="Open Sans" w:hAnsi="Open Sans" w:cs="Open Sans"/>
          <w:color w:val="333333"/>
          <w:sz w:val="21"/>
          <w:szCs w:val="21"/>
        </w:rPr>
        <w:t>iPhone</w:t>
      </w:r>
      <w:proofErr w:type="spellEnd"/>
      <w:r>
        <w:rPr>
          <w:rFonts w:ascii="Open Sans" w:hAnsi="Open Sans" w:cs="Open Sans"/>
          <w:color w:val="333333"/>
          <w:sz w:val="21"/>
          <w:szCs w:val="21"/>
        </w:rPr>
        <w:t xml:space="preserve"> 6 (6/6Plus e 6s/6sPlus rispettivamente immessi sul mercato nell’autunno del 2014 e 2015), di installare il nuovo sistema operativo </w:t>
      </w:r>
      <w:proofErr w:type="spellStart"/>
      <w:r>
        <w:rPr>
          <w:rFonts w:ascii="Open Sans" w:hAnsi="Open Sans" w:cs="Open Sans"/>
          <w:color w:val="333333"/>
          <w:sz w:val="21"/>
          <w:szCs w:val="21"/>
        </w:rPr>
        <w:t>iOS</w:t>
      </w:r>
      <w:proofErr w:type="spellEnd"/>
      <w:r>
        <w:rPr>
          <w:rFonts w:ascii="Open Sans" w:hAnsi="Open Sans" w:cs="Open Sans"/>
          <w:color w:val="333333"/>
          <w:sz w:val="21"/>
          <w:szCs w:val="21"/>
        </w:rPr>
        <w:t xml:space="preserve"> 10 sviluppato per il nuovo iPhone7, senza informare delle maggiori richieste di energia del nuovo sistema operativo e dei possibili inconvenienti – quali spegnimenti improvvisi – che tale installazione avrebbe potuto comportare. Per limitare tali problematiche, Apple ha rilasciato, nel febbraio 2017, un nuovo aggiornamento (</w:t>
      </w:r>
      <w:proofErr w:type="spellStart"/>
      <w:r>
        <w:rPr>
          <w:rFonts w:ascii="Open Sans" w:hAnsi="Open Sans" w:cs="Open Sans"/>
          <w:color w:val="333333"/>
          <w:sz w:val="21"/>
          <w:szCs w:val="21"/>
        </w:rPr>
        <w:t>iOS</w:t>
      </w:r>
      <w:proofErr w:type="spellEnd"/>
      <w:r>
        <w:rPr>
          <w:rFonts w:ascii="Open Sans" w:hAnsi="Open Sans" w:cs="Open Sans"/>
          <w:color w:val="333333"/>
          <w:sz w:val="21"/>
          <w:szCs w:val="21"/>
        </w:rPr>
        <w:t xml:space="preserve"> 10.2.1), senza tuttavia avvertire che la sua installazione avrebbe potuto ridurre la velocità di risposta e la funzionalità dei dispositivi. Inoltre, Apple non ha predisposto alcuna misura di assistenza per gli </w:t>
      </w:r>
      <w:proofErr w:type="spellStart"/>
      <w:r>
        <w:rPr>
          <w:rFonts w:ascii="Open Sans" w:hAnsi="Open Sans" w:cs="Open Sans"/>
          <w:color w:val="333333"/>
          <w:sz w:val="21"/>
          <w:szCs w:val="21"/>
        </w:rPr>
        <w:t>iPhone</w:t>
      </w:r>
      <w:proofErr w:type="spellEnd"/>
      <w:r>
        <w:rPr>
          <w:rFonts w:ascii="Open Sans" w:hAnsi="Open Sans" w:cs="Open Sans"/>
          <w:color w:val="333333"/>
          <w:sz w:val="21"/>
          <w:szCs w:val="21"/>
        </w:rPr>
        <w:t xml:space="preserve"> che avevano sperimentato problemi di funzionamento non coperti da garanzia legale, e solo nel dicembre 2017 ha previsto la possibilità di sostituire le batterie ad un prezzo scontato.</w:t>
      </w:r>
    </w:p>
    <w:p w:rsidR="007516AC" w:rsidRDefault="007516AC" w:rsidP="007516AC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>Nei confronti di Apple è stata altresì accertata una seconda condotta in violazione dell’art. 20 del Codice del Consumo in quanto la stessa, fino a dicembre 2017, non ha fornito ai consumatori adeguate informazioni circa alcune caratteristiche essenziali delle batterie al lito, quali la loro vita media e deteriorabilità, nonché circa le corrette procedure per mantenere, verificare e sostituire le batterie al fine di conservare la piena funzionalità dei dispositivi.</w:t>
      </w:r>
    </w:p>
    <w:p w:rsidR="007516AC" w:rsidRDefault="007516AC" w:rsidP="007516AC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>Alle due imprese sono state applicate sanzioni pari al massimo edittale, tenuto conto della gravità delle condotte e della dimensione dei professionisti: a Samsung 5 milioni di euro e ad Apple 10 milioni di euro (5 milioni per ciascuna delle due pratiche contestate).</w:t>
      </w:r>
    </w:p>
    <w:p w:rsidR="007516AC" w:rsidRDefault="007516AC" w:rsidP="007516AC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>Entrambe le imprese dovranno inoltre pubblicare sulla pagina in italiano del proprio sito internet una dichiarazione rettificativa che informi della decisione dell’Autorità con il </w:t>
      </w:r>
      <w:r>
        <w:rPr>
          <w:rStyle w:val="Enfasicorsivo"/>
          <w:rFonts w:ascii="Open Sans" w:hAnsi="Open Sans" w:cs="Open Sans"/>
          <w:color w:val="333333"/>
          <w:sz w:val="21"/>
          <w:szCs w:val="21"/>
        </w:rPr>
        <w:t>link</w:t>
      </w:r>
      <w:r>
        <w:rPr>
          <w:rFonts w:ascii="Open Sans" w:hAnsi="Open Sans" w:cs="Open Sans"/>
          <w:color w:val="333333"/>
          <w:sz w:val="21"/>
          <w:szCs w:val="21"/>
        </w:rPr>
        <w:t> al provvedimento di accertamento.</w:t>
      </w:r>
    </w:p>
    <w:p w:rsidR="007516AC" w:rsidRDefault="007516AC" w:rsidP="007516AC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>Nel corso dell’attività ispettiva, i funzionari dell’Autorità Garante della Concorrenza e del Mercato si sono avvalsi dell’ausilio del Nucleo speciale Antitrust della Guardia di Finanza.</w:t>
      </w:r>
    </w:p>
    <w:p w:rsidR="007516AC" w:rsidRDefault="007516AC" w:rsidP="007516AC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Open Sans" w:hAnsi="Open Sans" w:cs="Open Sans"/>
          <w:color w:val="333333"/>
          <w:sz w:val="21"/>
          <w:szCs w:val="21"/>
        </w:rPr>
      </w:pPr>
    </w:p>
    <w:p w:rsidR="006532E0" w:rsidRDefault="007516AC" w:rsidP="007516AC">
      <w:pPr>
        <w:pStyle w:val="NormaleWeb"/>
        <w:shd w:val="clear" w:color="auto" w:fill="FFFFFF"/>
        <w:spacing w:before="0" w:beforeAutospacing="0" w:after="150" w:afterAutospacing="0"/>
        <w:jc w:val="right"/>
      </w:pPr>
      <w:r>
        <w:rPr>
          <w:rStyle w:val="Enfasicorsivo"/>
          <w:rFonts w:ascii="Open Sans" w:hAnsi="Open Sans" w:cs="Open Sans"/>
          <w:color w:val="333333"/>
          <w:sz w:val="21"/>
          <w:szCs w:val="21"/>
        </w:rPr>
        <w:t>Roma, 24 ottobre 2018</w:t>
      </w:r>
    </w:p>
    <w:sectPr w:rsidR="006532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6AC"/>
    <w:rsid w:val="006532E0"/>
    <w:rsid w:val="0075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900D9-306D-4B0E-B4B6-303FC2A05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2E0"/>
    <w:rPr>
      <w:sz w:val="28"/>
      <w:szCs w:val="24"/>
    </w:rPr>
  </w:style>
  <w:style w:type="paragraph" w:styleId="Titolo3">
    <w:name w:val="heading 3"/>
    <w:basedOn w:val="Normale"/>
    <w:link w:val="Titolo3Carattere"/>
    <w:uiPriority w:val="9"/>
    <w:qFormat/>
    <w:rsid w:val="007516A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ileMessaggioDiPostaElettronica15">
    <w:name w:val="StileMessaggioDiPostaElettronica15"/>
    <w:basedOn w:val="Carpredefinitoparagrafo"/>
    <w:rPr>
      <w:rFonts w:ascii="Arial" w:hAnsi="Arial" w:cs="Arial"/>
      <w:color w:val="auto"/>
      <w:sz w:val="20"/>
    </w:rPr>
  </w:style>
  <w:style w:type="character" w:customStyle="1" w:styleId="StileMessaggioDiPostaElettronica16">
    <w:name w:val="StileMessaggioDiPostaElettronica16"/>
    <w:basedOn w:val="Carpredefinitoparagrafo"/>
    <w:rPr>
      <w:rFonts w:ascii="Arial" w:hAnsi="Arial" w:cs="Arial"/>
      <w:color w:val="auto"/>
      <w:sz w:val="20"/>
    </w:rPr>
  </w:style>
  <w:style w:type="paragraph" w:styleId="Rientrocorpodeltesto3">
    <w:name w:val="Body Text Indent 3"/>
    <w:basedOn w:val="Normale"/>
    <w:pPr>
      <w:spacing w:line="360" w:lineRule="auto"/>
      <w:ind w:firstLine="357"/>
      <w:jc w:val="both"/>
    </w:pPr>
    <w:rPr>
      <w:color w:val="000000"/>
    </w:rPr>
  </w:style>
  <w:style w:type="paragraph" w:styleId="NormaleWeb">
    <w:name w:val="Normal (Web)"/>
    <w:basedOn w:val="Normale"/>
    <w:uiPriority w:val="99"/>
    <w:unhideWhenUsed/>
    <w:rsid w:val="007516AC"/>
    <w:pPr>
      <w:spacing w:before="100" w:beforeAutospacing="1" w:after="100" w:afterAutospacing="1"/>
    </w:pPr>
    <w:rPr>
      <w:sz w:val="24"/>
    </w:rPr>
  </w:style>
  <w:style w:type="character" w:styleId="Enfasicorsivo">
    <w:name w:val="Emphasis"/>
    <w:basedOn w:val="Carpredefinitoparagrafo"/>
    <w:uiPriority w:val="20"/>
    <w:qFormat/>
    <w:rsid w:val="007516AC"/>
    <w:rPr>
      <w:i/>
      <w:i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7516AC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9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540</Words>
  <Characters>3081</Characters>
  <Application>Microsoft Office Word</Application>
  <DocSecurity>0</DocSecurity>
  <Lines>25</Lines>
  <Paragraphs>7</Paragraphs>
  <ScaleCrop>false</ScaleCrop>
  <Company/>
  <LinksUpToDate>false</LinksUpToDate>
  <CharactersWithSpaces>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Rinaldo RF. Fontanarosa</dc:creator>
  <cp:keywords/>
  <dc:description/>
  <cp:lastModifiedBy>Rinaldo RF. Fontanarosa</cp:lastModifiedBy>
  <cp:revision>1</cp:revision>
  <dcterms:created xsi:type="dcterms:W3CDTF">2018-10-28T18:33:00Z</dcterms:created>
  <dcterms:modified xsi:type="dcterms:W3CDTF">2018-10-28T18:36:00Z</dcterms:modified>
</cp:coreProperties>
</file>